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04" w:rsidRPr="00DD1E6E" w:rsidRDefault="00756604" w:rsidP="00756604">
      <w:pPr>
        <w:jc w:val="center"/>
        <w:rPr>
          <w:rFonts w:ascii="Calibri Light" w:hAnsi="Calibri Light" w:cs="Calibri Light"/>
          <w:sz w:val="24"/>
          <w:szCs w:val="24"/>
        </w:rPr>
      </w:pPr>
      <w:bookmarkStart w:id="0" w:name="_Hlk523676860"/>
      <w:r w:rsidRPr="00DD1E6E">
        <w:rPr>
          <w:rFonts w:ascii="Calibri Light" w:hAnsi="Calibri Light" w:cs="Calibri Light"/>
          <w:sz w:val="24"/>
          <w:szCs w:val="24"/>
        </w:rPr>
        <w:t>Prijedlog</w:t>
      </w:r>
      <w:r w:rsidRPr="00DD1E6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D05ABF" w:rsidRPr="00DD1E6E" w:rsidRDefault="00D05ABF" w:rsidP="00D05ABF">
      <w:pPr>
        <w:rPr>
          <w:rFonts w:ascii="Calibri Light" w:hAnsi="Calibri Light" w:cs="Calibri Light"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3453"/>
        <w:gridCol w:w="665"/>
        <w:gridCol w:w="3886"/>
        <w:gridCol w:w="4536"/>
      </w:tblGrid>
      <w:tr w:rsidR="00D05ABF" w:rsidRPr="00DD1E6E" w:rsidTr="00DD1E6E"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Razvoj srednjovjekovnih gradova i Umjetnost od predromanike do gotike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05ABF" w:rsidRPr="00DD1E6E" w:rsidTr="00DD1E6E">
        <w:trPr>
          <w:trHeight w:val="720"/>
        </w:trPr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D05ABF" w:rsidRPr="00DD1E6E" w:rsidRDefault="00D05ABF" w:rsidP="005F3C2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05ABF" w:rsidRPr="00DD1E6E" w:rsidTr="00DD1E6E"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="006171C9"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05ABF" w:rsidRPr="00DD1E6E" w:rsidTr="00DD1E6E"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05ABF" w:rsidRPr="00DD1E6E" w:rsidTr="00DD1E6E">
        <w:trPr>
          <w:trHeight w:val="1012"/>
        </w:trPr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05ABF" w:rsidRPr="00DD1E6E" w:rsidRDefault="00D05ABF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Umjetnost od predromanike do baroka – europski i hrvatski primjeri </w:t>
            </w:r>
          </w:p>
          <w:p w:rsidR="00D05ABF" w:rsidRPr="00DD1E6E" w:rsidRDefault="00D05ABF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Arapska i osmanska umjetnost u Europi</w:t>
            </w:r>
          </w:p>
          <w:p w:rsidR="00D05ABF" w:rsidRPr="00DD1E6E" w:rsidRDefault="00D05ABF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Uspon obrta, trgovine i manufakture.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05ABF" w:rsidRPr="00DD1E6E" w:rsidRDefault="00D05ABF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  <w:p w:rsidR="00D05ABF" w:rsidRPr="00DD1E6E" w:rsidRDefault="00D05ABF" w:rsidP="005F3C2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D05ABF" w:rsidRPr="00DD1E6E" w:rsidTr="00DD1E6E">
        <w:trPr>
          <w:trHeight w:val="773"/>
        </w:trPr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1E6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05ABF" w:rsidRPr="00DD1E6E" w:rsidRDefault="00D05ABF" w:rsidP="005F3C2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E.6.1. 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DD1E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>različite ideje, umjetničke stilove i književna djela u srednjem i ranom novom vijeku.</w:t>
            </w:r>
          </w:p>
          <w:p w:rsidR="00D05ABF" w:rsidRPr="00DD1E6E" w:rsidRDefault="00D05ABF" w:rsidP="005F3C2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 OŠ B.6.1.</w:t>
            </w:r>
          </w:p>
          <w:p w:rsidR="00D05ABF" w:rsidRDefault="00D05ABF" w:rsidP="005F3C2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DD1E6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>gospodarsku dinamiku i njezinu važnost u srednjem i ranom novom vijeku.</w:t>
            </w:r>
          </w:p>
          <w:p w:rsidR="00DD1E6E" w:rsidRPr="00DD1E6E" w:rsidRDefault="00DD1E6E" w:rsidP="005F3C2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DD1E6E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različite umjetničke stilove i kulturne dosege srednjega i ranoga novoga vijeka</w:t>
            </w:r>
          </w:p>
        </w:tc>
      </w:tr>
      <w:tr w:rsidR="00D05ABF" w:rsidRPr="00DD1E6E" w:rsidTr="00DD1E6E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D05ABF" w:rsidRPr="00DD1E6E" w:rsidRDefault="00D05ABF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05ABF" w:rsidRPr="00DD1E6E" w:rsidRDefault="00D05ABF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prezentira svoj rad za domaću zadaću</w:t>
            </w:r>
          </w:p>
          <w:p w:rsidR="00D05ABF" w:rsidRPr="00DD1E6E" w:rsidRDefault="00D05ABF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u digitalnom alatu izrađuje poster/ikonografiku</w:t>
            </w:r>
          </w:p>
          <w:p w:rsidR="00D05ABF" w:rsidRPr="00DD1E6E" w:rsidRDefault="00D05ABF" w:rsidP="005F3C24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procjenjuje svoje znanje</w:t>
            </w:r>
          </w:p>
        </w:tc>
      </w:tr>
      <w:tr w:rsidR="00D05ABF" w:rsidRPr="00DD1E6E" w:rsidTr="00DD1E6E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05ABF" w:rsidRPr="00DD1E6E" w:rsidTr="00DD1E6E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D05ABF" w:rsidRPr="00DD1E6E" w:rsidTr="00DD1E6E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obrtnici, romanika, gotika</w:t>
            </w:r>
          </w:p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05ABF" w:rsidRPr="00DD1E6E" w:rsidTr="00DD1E6E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DD1E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D05ABF" w:rsidRPr="00DD1E6E" w:rsidRDefault="00D05ABF" w:rsidP="005F3C2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D05ABF" w:rsidRPr="00DD1E6E" w:rsidTr="00DD1E6E">
        <w:trPr>
          <w:trHeight w:val="70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</w:tc>
        <w:tc>
          <w:tcPr>
            <w:tcW w:w="8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DD1E6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Usporedba i sučeljavanje; Uzroci i posljedice; Vrijeme i prostor</w:t>
            </w:r>
          </w:p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05ABF" w:rsidRPr="00DD1E6E" w:rsidRDefault="00D05ABF" w:rsidP="005F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D05ABF" w:rsidRPr="00DD1E6E" w:rsidTr="00DD1E6E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05ABF" w:rsidRPr="00DD1E6E" w:rsidTr="00DD1E6E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05ABF" w:rsidRPr="00DD1E6E" w:rsidTr="00DD1E6E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05ABF" w:rsidRPr="00DD1E6E" w:rsidRDefault="00D05ABF" w:rsidP="005F3C24">
            <w:pPr>
              <w:spacing w:after="0" w:line="240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- učenici igraju Kahoot kviz </w:t>
            </w:r>
            <w:hyperlink r:id="rId4" w:history="1">
              <w:r w:rsidRPr="00DD1E6E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https://create.kahoot.it/details/predromanika-gotika-romanika/35fc883c-36a5-4bef-ba24-4175071c0411</w:t>
              </w:r>
            </w:hyperlink>
          </w:p>
          <w:p w:rsidR="00D05ABF" w:rsidRPr="00DD1E6E" w:rsidRDefault="00D05ABF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provjera točnosti odgovora (VZU, VN)</w:t>
            </w:r>
          </w:p>
        </w:tc>
      </w:tr>
      <w:tr w:rsidR="00D05ABF" w:rsidRPr="00DD1E6E" w:rsidTr="00DD1E6E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05ABF" w:rsidRPr="00DD1E6E" w:rsidRDefault="00D05ABF" w:rsidP="005F3C2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prezentacija učeničkih radova</w:t>
            </w:r>
            <w:r w:rsidR="00DD1E6E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>učenici su samostalno/u paru/u skupini posjetili jednog obrtnika u blizini stanovanja</w:t>
            </w:r>
            <w:r w:rsidR="00DD1E6E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>tijekom posjeta dokumentirali su prostor, analizirali izgled prostora, smještaj obrta te u razgovoru s obrtnikom istražili koji su problemi s kojima se obrtnik susreće</w:t>
            </w: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rad u paru: učenici u digitalnom alatu (Canva ili Piktochart) izrađuju poster/infografiku o jednom stilsku razdoblju (predromanika, romanika, gotika)</w:t>
            </w: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učenici čitaju tekst o odijevanju u Bizantskom Carstvu na str. 11</w:t>
            </w:r>
            <w:r w:rsidR="00DD1E6E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 uz tekst (ukoliko ima vremena učenici mogu nacrtati odjevenog muškarca ili ženu prema opisu u tekstu)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diskusija o rezultatima učeničkih istraživanja, razmjena mišljenja (VZU)</w:t>
            </w: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usporedba rezultata rada s obrtništvom i obrtom u srednjem vijeku i njihovom ulogu u razvoju gradova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25"/>
              <w:gridCol w:w="1926"/>
            </w:tblGrid>
            <w:tr w:rsidR="00D05ABF" w:rsidRPr="00DD1E6E" w:rsidTr="005F3C24">
              <w:tc>
                <w:tcPr>
                  <w:tcW w:w="3851" w:type="dxa"/>
                  <w:gridSpan w:val="2"/>
                  <w:shd w:val="clear" w:color="auto" w:fill="FFFF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Obrtnici nekad i sad</w:t>
                  </w:r>
                </w:p>
              </w:tc>
            </w:tr>
            <w:tr w:rsidR="00D05ABF" w:rsidRPr="00DD1E6E" w:rsidTr="005F3C24">
              <w:tc>
                <w:tcPr>
                  <w:tcW w:w="1925" w:type="dxa"/>
                  <w:shd w:val="clear" w:color="auto" w:fill="FFC0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SLIČNOSTI</w:t>
                  </w:r>
                </w:p>
              </w:tc>
              <w:tc>
                <w:tcPr>
                  <w:tcW w:w="1926" w:type="dxa"/>
                  <w:shd w:val="clear" w:color="auto" w:fill="FFC0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RAZLIKE</w:t>
                  </w:r>
                </w:p>
              </w:tc>
            </w:tr>
            <w:tr w:rsidR="00D05ABF" w:rsidRPr="00DD1E6E" w:rsidTr="005F3C24">
              <w:tc>
                <w:tcPr>
                  <w:tcW w:w="1925" w:type="dxa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926" w:type="dxa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nakon što svi učenici završe svoj rad provest će vrednovanje pomoću tablice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31"/>
              <w:gridCol w:w="454"/>
              <w:gridCol w:w="911"/>
              <w:gridCol w:w="123"/>
              <w:gridCol w:w="460"/>
            </w:tblGrid>
            <w:tr w:rsidR="00D05ABF" w:rsidRPr="00DD1E6E" w:rsidTr="005F3C24">
              <w:tc>
                <w:tcPr>
                  <w:tcW w:w="2065" w:type="dxa"/>
                  <w:shd w:val="clear" w:color="auto" w:fill="E5DFEC" w:themeFill="accent4" w:themeFillTint="33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1" w:type="dxa"/>
                  <w:shd w:val="clear" w:color="auto" w:fill="E5DFEC" w:themeFill="accent4" w:themeFillTint="33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034" w:type="dxa"/>
                  <w:gridSpan w:val="2"/>
                  <w:shd w:val="clear" w:color="auto" w:fill="E5DFEC" w:themeFill="accent4" w:themeFillTint="33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donekle</w:t>
                  </w:r>
                </w:p>
              </w:tc>
              <w:tc>
                <w:tcPr>
                  <w:tcW w:w="323" w:type="dxa"/>
                  <w:shd w:val="clear" w:color="auto" w:fill="E5DFEC" w:themeFill="accent4" w:themeFillTint="33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</w:t>
                  </w:r>
                </w:p>
              </w:tc>
            </w:tr>
            <w:tr w:rsidR="00D05ABF" w:rsidRPr="00DD1E6E" w:rsidTr="005F3C24">
              <w:tc>
                <w:tcPr>
                  <w:tcW w:w="2065" w:type="dxa"/>
                  <w:shd w:val="clear" w:color="auto" w:fill="CCC0D9" w:themeFill="accent4" w:themeFillTint="66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Jasan i razumljiv tekst.</w:t>
                  </w:r>
                </w:p>
              </w:tc>
              <w:tc>
                <w:tcPr>
                  <w:tcW w:w="441" w:type="dxa"/>
                  <w:shd w:val="clear" w:color="auto" w:fill="CCC0D9" w:themeFill="accent4" w:themeFillTint="66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CCC0D9" w:themeFill="accent4" w:themeFillTint="66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gridSpan w:val="2"/>
                  <w:shd w:val="clear" w:color="auto" w:fill="CCC0D9" w:themeFill="accent4" w:themeFillTint="66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2065" w:type="dxa"/>
                  <w:shd w:val="clear" w:color="auto" w:fill="B2A1C7" w:themeFill="accent4" w:themeFillTint="99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Grafički prilozi jasno ocrtavaju stilsko razdoblje.</w:t>
                  </w:r>
                </w:p>
              </w:tc>
              <w:tc>
                <w:tcPr>
                  <w:tcW w:w="441" w:type="dxa"/>
                  <w:shd w:val="clear" w:color="auto" w:fill="B2A1C7" w:themeFill="accent4" w:themeFillTint="99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B2A1C7" w:themeFill="accent4" w:themeFillTint="99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gridSpan w:val="2"/>
                  <w:shd w:val="clear" w:color="auto" w:fill="B2A1C7" w:themeFill="accent4" w:themeFillTint="99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2065" w:type="dxa"/>
                  <w:shd w:val="clear" w:color="auto" w:fill="FFFF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Poštovana su pravopisna i gramatička pravila.</w:t>
                  </w:r>
                </w:p>
              </w:tc>
              <w:tc>
                <w:tcPr>
                  <w:tcW w:w="441" w:type="dxa"/>
                  <w:shd w:val="clear" w:color="auto" w:fill="FFFF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FFFF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gridSpan w:val="2"/>
                  <w:shd w:val="clear" w:color="auto" w:fill="FFFF0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2065" w:type="dxa"/>
                  <w:shd w:val="clear" w:color="auto" w:fill="5F497A" w:themeFill="accent4" w:themeFillShade="BF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Prikazani podatci su točni.</w:t>
                  </w:r>
                </w:p>
              </w:tc>
              <w:tc>
                <w:tcPr>
                  <w:tcW w:w="441" w:type="dxa"/>
                  <w:shd w:val="clear" w:color="auto" w:fill="5F497A" w:themeFill="accent4" w:themeFillShade="BF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5F497A" w:themeFill="accent4" w:themeFillShade="BF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gridSpan w:val="2"/>
                  <w:shd w:val="clear" w:color="auto" w:fill="5F497A" w:themeFill="accent4" w:themeFillShade="BF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2065" w:type="dxa"/>
                  <w:shd w:val="clear" w:color="auto" w:fill="403152" w:themeFill="accent4" w:themeFillShade="8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Grafičko oblikovanje omogućuje lako snalaženju na posteru/ikonografici.</w:t>
                  </w:r>
                </w:p>
              </w:tc>
              <w:tc>
                <w:tcPr>
                  <w:tcW w:w="441" w:type="dxa"/>
                  <w:shd w:val="clear" w:color="auto" w:fill="403152" w:themeFill="accent4" w:themeFillShade="8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403152" w:themeFill="accent4" w:themeFillShade="8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gridSpan w:val="2"/>
                  <w:shd w:val="clear" w:color="auto" w:fill="403152" w:themeFill="accent4" w:themeFillShade="80"/>
                </w:tcPr>
                <w:p w:rsidR="00D05ABF" w:rsidRPr="00DD1E6E" w:rsidRDefault="00D05ABF" w:rsidP="00DD1E6E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učitelj pregledava radove i daje povratne informacije učenicima (VZU)</w:t>
            </w: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(VZU)</w:t>
            </w: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DD1E6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05ABF" w:rsidRPr="00DD1E6E" w:rsidTr="00DD1E6E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- samovrednovanje </w:t>
            </w:r>
          </w:p>
          <w:p w:rsidR="00D05ABF" w:rsidRPr="00DD1E6E" w:rsidRDefault="00D05ABF" w:rsidP="005F3C2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>- samovrednovanje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580"/>
              <w:gridCol w:w="739"/>
              <w:gridCol w:w="1246"/>
              <w:gridCol w:w="745"/>
            </w:tblGrid>
            <w:tr w:rsidR="00D05ABF" w:rsidRPr="00DD1E6E" w:rsidTr="005F3C24">
              <w:tc>
                <w:tcPr>
                  <w:tcW w:w="965" w:type="dxa"/>
                  <w:shd w:val="clear" w:color="auto" w:fill="FFFFCC"/>
                  <w:vAlign w:val="center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966" w:type="dxa"/>
                  <w:shd w:val="clear" w:color="auto" w:fill="FFFFCC"/>
                  <w:vAlign w:val="center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966" w:type="dxa"/>
                  <w:shd w:val="clear" w:color="auto" w:fill="FFFFCC"/>
                  <w:vAlign w:val="center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Nisam </w:t>
                  </w: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siguran/na</w:t>
                  </w:r>
                </w:p>
              </w:tc>
              <w:tc>
                <w:tcPr>
                  <w:tcW w:w="966" w:type="dxa"/>
                  <w:shd w:val="clear" w:color="auto" w:fill="FFFFCC"/>
                  <w:vAlign w:val="center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Ne</w:t>
                  </w:r>
                </w:p>
              </w:tc>
            </w:tr>
            <w:tr w:rsidR="00D05ABF" w:rsidRPr="00DD1E6E" w:rsidTr="005F3C24">
              <w:tc>
                <w:tcPr>
                  <w:tcW w:w="965" w:type="dxa"/>
                  <w:shd w:val="clear" w:color="auto" w:fill="FFFF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Mogu usporediti obilježja gotike i romanike.</w:t>
                  </w:r>
                </w:p>
              </w:tc>
              <w:tc>
                <w:tcPr>
                  <w:tcW w:w="966" w:type="dxa"/>
                  <w:shd w:val="clear" w:color="auto" w:fill="FFFF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FFFF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FFFF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965" w:type="dxa"/>
                  <w:shd w:val="clear" w:color="auto" w:fill="FFFF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Mogu izdvojiti dva primjera gotičkog i romaničkog graditeljstva.</w:t>
                  </w:r>
                </w:p>
              </w:tc>
              <w:tc>
                <w:tcPr>
                  <w:tcW w:w="966" w:type="dxa"/>
                  <w:shd w:val="clear" w:color="auto" w:fill="FFFF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FFFF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FFFF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965" w:type="dxa"/>
                  <w:shd w:val="clear" w:color="auto" w:fill="FFFF00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Na fotografijama mogu razlikovati gotički od romaničkog stila.</w:t>
                  </w:r>
                </w:p>
              </w:tc>
              <w:tc>
                <w:tcPr>
                  <w:tcW w:w="966" w:type="dxa"/>
                  <w:shd w:val="clear" w:color="auto" w:fill="FFFF00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FFFF00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FFFF00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965" w:type="dxa"/>
                  <w:shd w:val="clear" w:color="auto" w:fill="B2A1C7" w:themeFill="accent4" w:themeFillTint="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>Mogu usporediti obilježja arapske i bizantske kulture.</w:t>
                  </w:r>
                </w:p>
              </w:tc>
              <w:tc>
                <w:tcPr>
                  <w:tcW w:w="966" w:type="dxa"/>
                  <w:shd w:val="clear" w:color="auto" w:fill="B2A1C7" w:themeFill="accent4" w:themeFillTint="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B2A1C7" w:themeFill="accent4" w:themeFillTint="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B2A1C7" w:themeFill="accent4" w:themeFillTint="99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05ABF" w:rsidRPr="00DD1E6E" w:rsidTr="005F3C24">
              <w:tc>
                <w:tcPr>
                  <w:tcW w:w="965" w:type="dxa"/>
                  <w:shd w:val="clear" w:color="auto" w:fill="CCC0D9" w:themeFill="accent4" w:themeFillTint="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izdvojiti </w:t>
                  </w:r>
                  <w:r w:rsidRPr="00DD1E6E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dvije građevine predromanike u Hrvatskoj.</w:t>
                  </w:r>
                </w:p>
              </w:tc>
              <w:tc>
                <w:tcPr>
                  <w:tcW w:w="966" w:type="dxa"/>
                  <w:shd w:val="clear" w:color="auto" w:fill="CCC0D9" w:themeFill="accent4" w:themeFillTint="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CCC0D9" w:themeFill="accent4" w:themeFillTint="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shd w:val="clear" w:color="auto" w:fill="CCC0D9" w:themeFill="accent4" w:themeFillTint="66"/>
                </w:tcPr>
                <w:p w:rsidR="00D05ABF" w:rsidRPr="00DD1E6E" w:rsidRDefault="00D05ABF" w:rsidP="005F3C24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05ABF" w:rsidRPr="00DD1E6E" w:rsidTr="00DD1E6E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1E6E">
              <w:rPr>
                <w:rFonts w:ascii="Calibri Light" w:hAnsi="Calibri Light" w:cs="Calibri Light"/>
                <w:sz w:val="24"/>
                <w:szCs w:val="24"/>
              </w:rPr>
              <w:t xml:space="preserve">Plan ploče čini izrađena infografika/poster. </w:t>
            </w: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05ABF" w:rsidRPr="00DD1E6E" w:rsidRDefault="00D05ABF" w:rsidP="005F3C2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05ABF" w:rsidRPr="00DD1E6E" w:rsidRDefault="00D05ABF" w:rsidP="00D05ABF">
      <w:pPr>
        <w:rPr>
          <w:rFonts w:ascii="Calibri Light" w:hAnsi="Calibri Light" w:cs="Calibri Light"/>
          <w:sz w:val="24"/>
          <w:szCs w:val="24"/>
        </w:rPr>
      </w:pPr>
    </w:p>
    <w:p w:rsidR="0038543A" w:rsidRPr="00DD1E6E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DD1E6E" w:rsidSect="00DD1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BF"/>
    <w:rsid w:val="001C612A"/>
    <w:rsid w:val="0038543A"/>
    <w:rsid w:val="006171C9"/>
    <w:rsid w:val="00756604"/>
    <w:rsid w:val="00D05ABF"/>
    <w:rsid w:val="00DD1E6E"/>
    <w:rsid w:val="00E14273"/>
    <w:rsid w:val="00E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1826"/>
  <w15:docId w15:val="{01CBC02C-7F89-4BAB-ABA2-BF06BC7C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B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D05AB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D05ABF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D05AB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D05AB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05ABF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D05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details/predromanika-gotika-romanika/35fc883c-36a5-4bef-ba24-4175071c0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606</Words>
  <Characters>3460</Characters>
  <Application>Microsoft Office Word</Application>
  <DocSecurity>0</DocSecurity>
  <Lines>28</Lines>
  <Paragraphs>8</Paragraphs>
  <ScaleCrop>false</ScaleCrop>
  <Company>Grizli777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4</cp:revision>
  <dcterms:created xsi:type="dcterms:W3CDTF">2019-12-06T09:27:00Z</dcterms:created>
  <dcterms:modified xsi:type="dcterms:W3CDTF">2020-04-30T12:50:00Z</dcterms:modified>
</cp:coreProperties>
</file>